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2224"/>
        <w:rPr>
          <w:sz w:val="20"/>
        </w:rPr>
      </w:pPr>
      <w:r>
        <w:rPr>
          <w:sz w:val="20"/>
        </w:rPr>
        <w:drawing>
          <wp:inline distT="0" distB="0" distL="0" distR="0">
            <wp:extent cx="2744198" cy="813816"/>
            <wp:effectExtent l="0" t="0" r="0" b="0"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198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</w:p>
    <w:p>
      <w:pPr>
        <w:spacing w:before="86"/>
        <w:ind w:left="888" w:right="1069" w:firstLine="0"/>
        <w:jc w:val="center"/>
        <w:rPr>
          <w:b/>
          <w:sz w:val="32"/>
        </w:rPr>
      </w:pPr>
      <w:r>
        <w:rPr>
          <w:b/>
          <w:color w:val="1F487C"/>
          <w:sz w:val="32"/>
        </w:rPr>
        <w:t>HÁROK OVEROVANIA FINANČNEJ LIKVIDITY NEINVESTIČNÝCH PROJEKTOV</w:t>
      </w:r>
    </w:p>
    <w:p>
      <w:pPr>
        <w:pStyle w:val="BodyText"/>
        <w:rPr>
          <w:b/>
          <w:sz w:val="34"/>
        </w:rPr>
      </w:pPr>
    </w:p>
    <w:p>
      <w:pPr>
        <w:pStyle w:val="BodyText"/>
        <w:spacing w:before="7"/>
        <w:rPr>
          <w:b/>
          <w:sz w:val="31"/>
        </w:rPr>
      </w:pPr>
    </w:p>
    <w:p>
      <w:pPr>
        <w:pStyle w:val="BodyText"/>
        <w:spacing w:line="237" w:lineRule="auto"/>
        <w:ind w:left="220" w:right="395"/>
        <w:jc w:val="both"/>
      </w:pPr>
      <w:r>
        <w:rPr/>
        <w:t>V súvislosti s predložením žiadosti o poskytnutie finančných prostriedkov z Programu cezhraničnej spolupráce Interreg V-A Poľsko-Slovensko 2014-2020 pre projekt s názvom</w:t>
      </w:r>
    </w:p>
    <w:p>
      <w:pPr>
        <w:pStyle w:val="BodyText"/>
        <w:spacing w:before="1"/>
        <w:ind w:left="220" w:right="396"/>
        <w:jc w:val="both"/>
      </w:pPr>
      <w:r>
        <w:rPr/>
        <w:t>........................................................................, v rámci ktorého je plánovaná realizácia neinvestičných aktivít, v mene žiadateľa (názov) …………………………………………. prehlasujem, že: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929" w:val="left" w:leader="none"/>
        </w:tabs>
        <w:spacing w:line="240" w:lineRule="auto" w:before="0" w:after="9"/>
        <w:ind w:left="940" w:right="0" w:hanging="360"/>
        <w:jc w:val="left"/>
        <w:rPr>
          <w:sz w:val="24"/>
        </w:rPr>
      </w:pPr>
      <w:r>
        <w:rPr>
          <w:sz w:val="24"/>
        </w:rPr>
        <w:t>aktivity budú financované z nasledujúcich</w:t>
      </w:r>
      <w:r>
        <w:rPr>
          <w:spacing w:val="-5"/>
          <w:sz w:val="24"/>
        </w:rPr>
        <w:t> </w:t>
      </w:r>
      <w:r>
        <w:rPr>
          <w:sz w:val="24"/>
        </w:rPr>
        <w:t>zdrojov</w:t>
      </w:r>
      <w:r>
        <w:rPr>
          <w:position w:val="10"/>
          <w:sz w:val="14"/>
        </w:rPr>
        <w:t>1</w:t>
      </w:r>
      <w:r>
        <w:rPr>
          <w:sz w:val="24"/>
        </w:rPr>
        <w:t>:</w:t>
      </w:r>
    </w:p>
    <w:tbl>
      <w:tblPr>
        <w:tblW w:w="0" w:type="auto"/>
        <w:jc w:val="left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98"/>
        <w:gridCol w:w="1764"/>
      </w:tblGrid>
      <w:tr>
        <w:trPr>
          <w:trHeight w:val="278" w:hRule="atLeast"/>
        </w:trPr>
        <w:tc>
          <w:tcPr>
            <w:tcW w:w="5598" w:type="dxa"/>
            <w:shd w:val="clear" w:color="auto" w:fill="D9D9D9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Špecifikácia:</w:t>
            </w:r>
          </w:p>
        </w:tc>
        <w:tc>
          <w:tcPr>
            <w:tcW w:w="1764" w:type="dxa"/>
            <w:shd w:val="clear" w:color="auto" w:fill="D9D9D9"/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Hodnota v EUR</w:t>
            </w:r>
          </w:p>
        </w:tc>
      </w:tr>
      <w:tr>
        <w:trPr>
          <w:trHeight w:val="275" w:hRule="atLeast"/>
        </w:trPr>
        <w:tc>
          <w:tcPr>
            <w:tcW w:w="5598" w:type="dxa"/>
          </w:tcPr>
          <w:p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a) dotácia v rámci Programu PL-SK 2014-2020</w:t>
            </w:r>
          </w:p>
        </w:tc>
        <w:tc>
          <w:tcPr>
            <w:tcW w:w="176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98" w:type="dxa"/>
          </w:tcPr>
          <w:p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b) vlastné prostriedky</w:t>
            </w:r>
          </w:p>
        </w:tc>
        <w:tc>
          <w:tcPr>
            <w:tcW w:w="176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98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 vrátené úvery, pôžičky</w:t>
            </w:r>
          </w:p>
        </w:tc>
        <w:tc>
          <w:tcPr>
            <w:tcW w:w="176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98" w:type="dxa"/>
          </w:tcPr>
          <w:p>
            <w:pPr>
              <w:pStyle w:val="TableParagraph"/>
              <w:tabs>
                <w:tab w:pos="875" w:val="left" w:leader="none"/>
              </w:tabs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c)</w:t>
              <w:tab/>
              <w:t>iné zdroje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(aké?)</w:t>
            </w:r>
          </w:p>
        </w:tc>
        <w:tc>
          <w:tcPr>
            <w:tcW w:w="176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ListParagraph"/>
        <w:numPr>
          <w:ilvl w:val="0"/>
          <w:numId w:val="1"/>
        </w:numPr>
        <w:tabs>
          <w:tab w:pos="929" w:val="left" w:leader="none"/>
        </w:tabs>
        <w:spacing w:line="240" w:lineRule="auto" w:before="176" w:after="0"/>
        <w:ind w:left="940" w:right="398" w:hanging="360"/>
        <w:jc w:val="both"/>
        <w:rPr>
          <w:sz w:val="24"/>
        </w:rPr>
      </w:pPr>
      <w:r>
        <w:rPr>
          <w:sz w:val="24"/>
        </w:rPr>
        <w:t>disponujem finančnými prostriedkami, ktoré umožňujú realizáciu vyššie uvedeného projektu v súlade s predpokladmi a harmonogramom určeným v žiadosti o poskytnutie finančného</w:t>
      </w:r>
      <w:r>
        <w:rPr>
          <w:spacing w:val="-1"/>
          <w:sz w:val="24"/>
        </w:rPr>
        <w:t> </w:t>
      </w:r>
      <w:r>
        <w:rPr>
          <w:sz w:val="24"/>
        </w:rPr>
        <w:t>príspevku;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929" w:val="left" w:leader="none"/>
        </w:tabs>
        <w:spacing w:line="240" w:lineRule="auto" w:before="0" w:after="0"/>
        <w:ind w:left="940" w:right="396" w:hanging="360"/>
        <w:jc w:val="both"/>
        <w:rPr>
          <w:sz w:val="24"/>
        </w:rPr>
      </w:pPr>
      <w:r>
        <w:rPr>
          <w:sz w:val="22"/>
        </w:rPr>
        <w:t>Moja finančná likvidita </w:t>
      </w:r>
      <w:r>
        <w:rPr>
          <w:sz w:val="24"/>
        </w:rPr>
        <w:t>je dostačujúca </w:t>
      </w:r>
      <w:r>
        <w:rPr>
          <w:sz w:val="22"/>
        </w:rPr>
        <w:t>na to, aby som mohol znášať bežné výdavky spojené s realizáciou vyššie uvedeného projektu </w:t>
      </w:r>
      <w:r>
        <w:rPr>
          <w:sz w:val="24"/>
        </w:rPr>
        <w:t>vrátane zohľadnenia prípadných oneskorení realizácie a vyúčtovania</w:t>
      </w:r>
      <w:r>
        <w:rPr>
          <w:spacing w:val="-2"/>
          <w:sz w:val="24"/>
        </w:rPr>
        <w:t> </w:t>
      </w:r>
      <w:r>
        <w:rPr>
          <w:sz w:val="24"/>
        </w:rPr>
        <w:t>projektu;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"/>
        </w:numPr>
        <w:tabs>
          <w:tab w:pos="929" w:val="left" w:leader="none"/>
        </w:tabs>
        <w:spacing w:line="237" w:lineRule="auto" w:before="1" w:after="0"/>
        <w:ind w:left="940" w:right="397" w:hanging="360"/>
        <w:jc w:val="both"/>
        <w:rPr>
          <w:sz w:val="14"/>
        </w:rPr>
      </w:pPr>
      <w:r>
        <w:rPr>
          <w:sz w:val="24"/>
        </w:rPr>
        <w:t>nie som v ťažkej ekonomickej situácii podľa čl. 2 b. 18) Nariadenia Komisie (EÚ) č. 651/2014 o vyhlásení určitých kategórií pomoci za zlučiteľné s vnútorným trhom podľa článkov 107 a 108 Zmluvy (Zz UE L 187 z</w:t>
      </w:r>
      <w:r>
        <w:rPr>
          <w:spacing w:val="-5"/>
          <w:sz w:val="24"/>
        </w:rPr>
        <w:t> </w:t>
      </w:r>
      <w:r>
        <w:rPr>
          <w:sz w:val="24"/>
        </w:rPr>
        <w:t>26.6.2014)</w:t>
      </w:r>
      <w:r>
        <w:rPr>
          <w:position w:val="10"/>
          <w:sz w:val="14"/>
        </w:rPr>
        <w:t>2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929" w:val="left" w:leader="none"/>
        </w:tabs>
        <w:spacing w:line="240" w:lineRule="auto" w:before="0" w:after="0"/>
        <w:ind w:left="940" w:right="0" w:hanging="360"/>
        <w:jc w:val="left"/>
        <w:rPr>
          <w:sz w:val="24"/>
        </w:rPr>
      </w:pPr>
      <w:r>
        <w:rPr>
          <w:sz w:val="24"/>
        </w:rPr>
        <w:t>V prípade partnerov, ktorými sú verejné</w:t>
      </w:r>
      <w:r>
        <w:rPr>
          <w:spacing w:val="-3"/>
          <w:sz w:val="24"/>
        </w:rPr>
        <w:t> </w:t>
      </w:r>
      <w:r>
        <w:rPr>
          <w:sz w:val="24"/>
        </w:rPr>
        <w:t>subjekty:</w:t>
      </w:r>
    </w:p>
    <w:p>
      <w:pPr>
        <w:pStyle w:val="ListParagraph"/>
        <w:numPr>
          <w:ilvl w:val="0"/>
          <w:numId w:val="2"/>
        </w:numPr>
        <w:tabs>
          <w:tab w:pos="929" w:val="left" w:leader="none"/>
        </w:tabs>
        <w:spacing w:line="237" w:lineRule="auto" w:before="5" w:after="0"/>
        <w:ind w:left="940" w:right="399" w:hanging="360"/>
        <w:jc w:val="both"/>
        <w:rPr>
          <w:rFonts w:ascii="Symbol" w:hAnsi="Symbol"/>
          <w:sz w:val="24"/>
        </w:rPr>
      </w:pPr>
      <w:r>
        <w:rPr>
          <w:sz w:val="24"/>
        </w:rPr>
        <w:t>prehlasujem, že pri vynakladaní výdavkov na realizáciu projektu nebudú prekročené limity prípustného verejného dlhu rozpočtu , podľa vnútroštátnych predpisov v oblasti verejných</w:t>
      </w:r>
      <w:r>
        <w:rPr>
          <w:spacing w:val="0"/>
          <w:sz w:val="24"/>
        </w:rPr>
        <w:t> </w:t>
      </w:r>
      <w:r>
        <w:rPr>
          <w:sz w:val="24"/>
        </w:rPr>
        <w:t>financií.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6"/>
        </w:rPr>
      </w:pPr>
      <w:r>
        <w:rPr/>
        <w:pict>
          <v:line style="position:absolute;mso-position-horizontal-relative:page;mso-position-vertical-relative:paragraph;z-index:0;mso-wrap-distance-left:0;mso-wrap-distance-right:0" from="90.024002pt,17.320948pt" to="234.044002pt,17.320948pt" stroked="true" strokeweight=".60004pt" strokecolor="#000000">
            <v:stroke dashstyle="solid"/>
            <w10:wrap type="topAndBottom"/>
          </v:line>
        </w:pict>
      </w:r>
    </w:p>
    <w:p>
      <w:pPr>
        <w:spacing w:line="252" w:lineRule="exact" w:before="66"/>
        <w:ind w:left="220" w:right="0" w:firstLine="0"/>
        <w:jc w:val="left"/>
        <w:rPr>
          <w:sz w:val="22"/>
        </w:rPr>
      </w:pPr>
      <w:r>
        <w:rPr>
          <w:w w:val="100"/>
          <w:sz w:val="22"/>
        </w:rPr>
        <w:t>1</w:t>
      </w:r>
    </w:p>
    <w:p>
      <w:pPr>
        <w:tabs>
          <w:tab w:pos="1614" w:val="left" w:leader="none"/>
          <w:tab w:pos="2520" w:val="left" w:leader="none"/>
          <w:tab w:pos="3525" w:val="left" w:leader="none"/>
          <w:tab w:pos="4235" w:val="left" w:leader="none"/>
          <w:tab w:pos="5471" w:val="left" w:leader="none"/>
          <w:tab w:pos="6502" w:val="left" w:leader="none"/>
          <w:tab w:pos="7497" w:val="left" w:leader="none"/>
          <w:tab w:pos="8420" w:val="left" w:leader="none"/>
        </w:tabs>
        <w:spacing w:line="229" w:lineRule="exact" w:before="0"/>
        <w:ind w:left="1238" w:right="0" w:firstLine="0"/>
        <w:jc w:val="left"/>
        <w:rPr>
          <w:sz w:val="20"/>
        </w:rPr>
      </w:pPr>
      <w:r>
        <w:rPr>
          <w:sz w:val="20"/>
        </w:rPr>
        <w:t>Je</w:t>
        <w:tab/>
        <w:t>potrebné</w:t>
        <w:tab/>
        <w:t>zohľadniť</w:t>
        <w:tab/>
        <w:t>zdroje</w:t>
        <w:tab/>
        <w:t>financovania</w:t>
        <w:tab/>
        <w:t>celkových</w:t>
        <w:tab/>
        <w:t>výdavkov</w:t>
        <w:tab/>
        <w:t>projektu,</w:t>
        <w:tab/>
        <w:t>spolu</w:t>
      </w:r>
    </w:p>
    <w:p>
      <w:pPr>
        <w:spacing w:before="0"/>
        <w:ind w:left="220" w:right="0" w:firstLine="0"/>
        <w:jc w:val="left"/>
        <w:rPr>
          <w:sz w:val="20"/>
        </w:rPr>
      </w:pPr>
      <w:r>
        <w:rPr>
          <w:sz w:val="20"/>
        </w:rPr>
        <w:t>s neoprávnenými výdavkami.</w:t>
      </w:r>
    </w:p>
    <w:p>
      <w:pPr>
        <w:spacing w:before="1"/>
        <w:ind w:left="220" w:right="0" w:firstLine="0"/>
        <w:jc w:val="left"/>
        <w:rPr>
          <w:sz w:val="22"/>
        </w:rPr>
      </w:pPr>
      <w:r>
        <w:rPr>
          <w:w w:val="100"/>
          <w:sz w:val="22"/>
        </w:rPr>
        <w:t>2</w:t>
      </w:r>
    </w:p>
    <w:p>
      <w:pPr>
        <w:spacing w:line="229" w:lineRule="exact" w:before="0"/>
        <w:ind w:left="1079" w:right="0" w:firstLine="0"/>
        <w:jc w:val="left"/>
        <w:rPr>
          <w:sz w:val="20"/>
        </w:rPr>
      </w:pPr>
      <w:r>
        <w:rPr>
          <w:sz w:val="20"/>
        </w:rPr>
        <w:t>Týka sa podnikateľov v zmysle ustanovení o štátnej pomoci.</w:t>
      </w:r>
    </w:p>
    <w:p>
      <w:pPr>
        <w:spacing w:after="0" w:line="229" w:lineRule="exact"/>
        <w:jc w:val="left"/>
        <w:rPr>
          <w:sz w:val="20"/>
        </w:rPr>
        <w:sectPr>
          <w:type w:val="continuous"/>
          <w:pgSz w:w="12240" w:h="15840"/>
          <w:pgMar w:top="340" w:bottom="280" w:left="1580" w:right="1400"/>
        </w:sectPr>
      </w:pPr>
    </w:p>
    <w:p>
      <w:pPr>
        <w:pStyle w:val="ListParagraph"/>
        <w:numPr>
          <w:ilvl w:val="0"/>
          <w:numId w:val="1"/>
        </w:numPr>
        <w:tabs>
          <w:tab w:pos="929" w:val="left" w:leader="none"/>
        </w:tabs>
        <w:spacing w:line="240" w:lineRule="auto" w:before="72" w:after="0"/>
        <w:ind w:left="940" w:right="400" w:hanging="360"/>
        <w:jc w:val="left"/>
        <w:rPr>
          <w:sz w:val="24"/>
        </w:rPr>
      </w:pPr>
      <w:r>
        <w:rPr>
          <w:sz w:val="24"/>
        </w:rPr>
        <w:t>V prípade partnerov, ktorí sú subjektmi súkromného práva (napr. mimovládne organizácie, podnikatelia,</w:t>
      </w:r>
      <w:r>
        <w:rPr>
          <w:spacing w:val="-1"/>
          <w:sz w:val="24"/>
        </w:rPr>
        <w:t> </w:t>
      </w:r>
      <w:r>
        <w:rPr>
          <w:sz w:val="24"/>
        </w:rPr>
        <w:t>atď.):</w:t>
      </w: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928" w:val="left" w:leader="none"/>
          <w:tab w:pos="929" w:val="left" w:leader="none"/>
        </w:tabs>
        <w:spacing w:line="240" w:lineRule="auto" w:before="0" w:after="0"/>
        <w:ind w:left="940" w:right="0" w:hanging="360"/>
        <w:jc w:val="left"/>
        <w:rPr>
          <w:rFonts w:ascii="Symbol" w:hAnsi="Symbol"/>
          <w:sz w:val="22"/>
        </w:rPr>
      </w:pPr>
      <w:r>
        <w:rPr>
          <w:sz w:val="24"/>
        </w:rPr>
        <w:t>základné finančné údaje pre posledný účtovný rok sú</w:t>
      </w:r>
      <w:r>
        <w:rPr>
          <w:spacing w:val="-10"/>
          <w:sz w:val="24"/>
        </w:rPr>
        <w:t> </w:t>
      </w:r>
      <w:r>
        <w:rPr>
          <w:sz w:val="24"/>
        </w:rPr>
        <w:t>nasledujúce:</w:t>
      </w:r>
    </w:p>
    <w:p>
      <w:pPr>
        <w:pStyle w:val="BodyText"/>
        <w:rPr>
          <w:sz w:val="20"/>
        </w:rPr>
      </w:pPr>
    </w:p>
    <w:p>
      <w:pPr>
        <w:pStyle w:val="BodyText"/>
        <w:spacing w:before="8" w:after="1"/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76"/>
        <w:gridCol w:w="4165"/>
      </w:tblGrid>
      <w:tr>
        <w:trPr>
          <w:trHeight w:val="251" w:hRule="atLeast"/>
        </w:trPr>
        <w:tc>
          <w:tcPr>
            <w:tcW w:w="4676" w:type="dxa"/>
            <w:shd w:val="clear" w:color="auto" w:fill="D9D9D9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z w:val="22"/>
              </w:rPr>
              <w:t>Finančné údaje</w:t>
            </w:r>
          </w:p>
        </w:tc>
        <w:tc>
          <w:tcPr>
            <w:tcW w:w="4165" w:type="dxa"/>
            <w:shd w:val="clear" w:color="auto" w:fill="D9D9D9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z w:val="22"/>
              </w:rPr>
              <w:t>Hodnota v EUR</w:t>
            </w:r>
          </w:p>
        </w:tc>
      </w:tr>
      <w:tr>
        <w:trPr>
          <w:trHeight w:val="253" w:hRule="atLeast"/>
        </w:trPr>
        <w:tc>
          <w:tcPr>
            <w:tcW w:w="4676" w:type="dxa"/>
          </w:tcPr>
          <w:p>
            <w:pPr>
              <w:pStyle w:val="TableParagraph"/>
              <w:tabs>
                <w:tab w:pos="784" w:val="left" w:leader="none"/>
              </w:tabs>
              <w:spacing w:line="234" w:lineRule="exact"/>
              <w:ind w:left="438"/>
              <w:rPr>
                <w:sz w:val="22"/>
              </w:rPr>
            </w:pPr>
            <w:r>
              <w:rPr>
                <w:sz w:val="22"/>
              </w:rPr>
              <w:t>-</w:t>
              <w:tab/>
              <w:t>príjmy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32" w:lineRule="exact"/>
              <w:ind w:left="467"/>
              <w:rPr>
                <w:sz w:val="22"/>
              </w:rPr>
            </w:pPr>
            <w:r>
              <w:rPr>
                <w:sz w:val="22"/>
              </w:rPr>
              <w:t>-</w:t>
              <w:tab/>
              <w:t>prevádzkové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náklady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676" w:type="dxa"/>
          </w:tcPr>
          <w:p>
            <w:pPr>
              <w:pStyle w:val="TableParagraph"/>
              <w:tabs>
                <w:tab w:pos="784" w:val="left" w:leader="none"/>
              </w:tabs>
              <w:spacing w:line="234" w:lineRule="exact"/>
              <w:ind w:left="438"/>
              <w:rPr>
                <w:sz w:val="22"/>
              </w:rPr>
            </w:pPr>
            <w:r>
              <w:rPr>
                <w:sz w:val="22"/>
              </w:rPr>
              <w:t>-</w:t>
              <w:tab/>
              <w:t>čistý finančný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výsledok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34" w:lineRule="exact"/>
              <w:ind w:left="467"/>
              <w:rPr>
                <w:sz w:val="22"/>
              </w:rPr>
            </w:pPr>
            <w:r>
              <w:rPr>
                <w:sz w:val="22"/>
              </w:rPr>
              <w:t>-</w:t>
              <w:tab/>
              <w:t>obežné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aktíva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32" w:lineRule="exact"/>
              <w:ind w:left="467"/>
              <w:rPr>
                <w:sz w:val="22"/>
              </w:rPr>
            </w:pPr>
            <w:r>
              <w:rPr>
                <w:sz w:val="22"/>
              </w:rPr>
              <w:t>-</w:t>
              <w:tab/>
              <w:t>učinné vyúčtovanie v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medziobdobiach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34" w:lineRule="exact"/>
              <w:ind w:left="467"/>
              <w:rPr>
                <w:sz w:val="22"/>
              </w:rPr>
            </w:pPr>
            <w:r>
              <w:rPr>
                <w:sz w:val="22"/>
              </w:rPr>
              <w:t>-</w:t>
              <w:tab/>
              <w:t>obežné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pasíva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32" w:lineRule="exact"/>
              <w:ind w:left="467"/>
              <w:rPr>
                <w:sz w:val="22"/>
              </w:rPr>
            </w:pPr>
            <w:r>
              <w:rPr>
                <w:sz w:val="22"/>
              </w:rPr>
              <w:t>-</w:t>
              <w:tab/>
              <w:t>rezervy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34" w:lineRule="exact"/>
              <w:ind w:left="467"/>
              <w:rPr>
                <w:sz w:val="22"/>
              </w:rPr>
            </w:pPr>
            <w:r>
              <w:rPr>
                <w:sz w:val="22"/>
              </w:rPr>
              <w:t>-</w:t>
              <w:tab/>
              <w:t>peňažné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prostriedky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4676" w:type="dxa"/>
          </w:tcPr>
          <w:p>
            <w:pPr>
              <w:pStyle w:val="TableParagraph"/>
              <w:tabs>
                <w:tab w:pos="815" w:val="left" w:leader="none"/>
              </w:tabs>
              <w:spacing w:line="256" w:lineRule="exact"/>
              <w:ind w:left="467"/>
              <w:rPr>
                <w:sz w:val="24"/>
              </w:rPr>
            </w:pPr>
            <w:r>
              <w:rPr>
                <w:sz w:val="22"/>
              </w:rPr>
              <w:t>-</w:t>
              <w:tab/>
              <w:t>ukazovatele </w:t>
            </w:r>
            <w:r>
              <w:rPr>
                <w:sz w:val="24"/>
              </w:rPr>
              <w:t>finančnej</w:t>
            </w:r>
            <w:r>
              <w:rPr>
                <w:spacing w:val="0"/>
                <w:sz w:val="24"/>
              </w:rPr>
              <w:t> </w:t>
            </w:r>
            <w:r>
              <w:rPr>
                <w:sz w:val="24"/>
              </w:rPr>
              <w:t>likvidity</w:t>
            </w:r>
          </w:p>
        </w:tc>
        <w:tc>
          <w:tcPr>
            <w:tcW w:w="416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3"/>
        </w:rPr>
      </w:pPr>
    </w:p>
    <w:p>
      <w:pPr>
        <w:pStyle w:val="BodyText"/>
        <w:spacing w:before="90"/>
        <w:ind w:left="220" w:right="394"/>
        <w:jc w:val="both"/>
      </w:pPr>
      <w:r>
        <w:rPr/>
        <w:t>Pozor! Ukazovateľ finančnej likvidity (bežnej) poskytuje informáciu o tom, koľkonásobne aktíva s veľkým stupňom finančnej likvidity (bez zásob) pokrývajú bežné záväzky. Hodnota ukazovateľa menšia ako „1,00” poukazuje na ťažkosti s bežnou likviditou subjektu. V takejto situácii treba poskytnúť podrobné vysvetlenia týkajúce sa zdrojov financovania výdavkov</w:t>
      </w:r>
      <w:r>
        <w:rPr>
          <w:spacing w:val="-1"/>
        </w:rPr>
        <w:t> </w:t>
      </w:r>
      <w:r>
        <w:rPr/>
        <w:t>projektu:</w:t>
      </w:r>
    </w:p>
    <w:p>
      <w:pPr>
        <w:pStyle w:val="BodyText"/>
        <w:ind w:left="220"/>
        <w:jc w:val="both"/>
      </w:pPr>
      <w:r>
        <w:rPr/>
        <w:t>................................................................................................................................................</w:t>
      </w:r>
    </w:p>
    <w:p>
      <w:pPr>
        <w:pStyle w:val="BodyText"/>
        <w:ind w:left="220"/>
        <w:jc w:val="both"/>
      </w:pPr>
      <w:r>
        <w:rPr/>
        <w:t>.......</w:t>
      </w:r>
    </w:p>
    <w:p>
      <w:pPr>
        <w:pStyle w:val="BodyText"/>
        <w:ind w:left="220"/>
        <w:jc w:val="both"/>
      </w:pPr>
      <w:r>
        <w:rPr/>
        <w:t>................................................................................................................................................</w:t>
      </w:r>
    </w:p>
    <w:p>
      <w:pPr>
        <w:pStyle w:val="BodyText"/>
        <w:ind w:left="220"/>
        <w:jc w:val="both"/>
      </w:pPr>
      <w:r>
        <w:rPr/>
        <w:t>.......</w:t>
      </w:r>
    </w:p>
    <w:p>
      <w:pPr>
        <w:pStyle w:val="BodyText"/>
        <w:ind w:left="220"/>
        <w:jc w:val="both"/>
      </w:pPr>
      <w:r>
        <w:rPr/>
        <w:t>................................................................................................................................................</w:t>
      </w:r>
    </w:p>
    <w:p>
      <w:pPr>
        <w:pStyle w:val="BodyText"/>
        <w:ind w:left="220"/>
        <w:jc w:val="both"/>
      </w:pPr>
      <w:r>
        <w:rPr/>
        <w:t>.......</w:t>
      </w:r>
    </w:p>
    <w:p>
      <w:pPr>
        <w:pStyle w:val="BodyText"/>
        <w:ind w:left="220"/>
        <w:jc w:val="both"/>
      </w:pPr>
      <w:r>
        <w:rPr/>
        <w:t>................................................................................................................................................</w:t>
      </w:r>
    </w:p>
    <w:p>
      <w:pPr>
        <w:pStyle w:val="BodyText"/>
        <w:ind w:left="220"/>
        <w:jc w:val="both"/>
      </w:pPr>
      <w:r>
        <w:rPr/>
        <w:t>.......</w:t>
      </w:r>
    </w:p>
    <w:p>
      <w:pPr>
        <w:pStyle w:val="BodyText"/>
        <w:spacing w:before="1"/>
        <w:ind w:left="220"/>
        <w:jc w:val="both"/>
      </w:pPr>
      <w:r>
        <w:rPr/>
        <w:t>................................................................................................................................................</w:t>
      </w:r>
    </w:p>
    <w:p>
      <w:pPr>
        <w:pStyle w:val="BodyText"/>
        <w:ind w:left="220"/>
        <w:jc w:val="both"/>
      </w:pPr>
      <w:r>
        <w:rPr/>
        <w:t>.......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</w:pPr>
    </w:p>
    <w:tbl>
      <w:tblPr>
        <w:tblW w:w="0" w:type="auto"/>
        <w:jc w:val="left"/>
        <w:tblInd w:w="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6202"/>
      </w:tblGrid>
      <w:tr>
        <w:trPr>
          <w:trHeight w:val="520" w:hRule="atLeast"/>
        </w:trPr>
        <w:tc>
          <w:tcPr>
            <w:tcW w:w="2662" w:type="dxa"/>
          </w:tcPr>
          <w:p>
            <w:pPr>
              <w:pStyle w:val="TableParagraph"/>
              <w:spacing w:line="266" w:lineRule="exact"/>
              <w:ind w:left="180" w:right="221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……………………….</w:t>
            </w:r>
          </w:p>
          <w:p>
            <w:pPr>
              <w:pStyle w:val="TableParagraph"/>
              <w:spacing w:line="233" w:lineRule="exact" w:before="2"/>
              <w:ind w:left="180" w:right="216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dátum</w:t>
            </w:r>
          </w:p>
        </w:tc>
        <w:tc>
          <w:tcPr>
            <w:tcW w:w="6202" w:type="dxa"/>
          </w:tcPr>
          <w:p>
            <w:pPr>
              <w:pStyle w:val="TableParagraph"/>
              <w:spacing w:line="266" w:lineRule="exact"/>
              <w:ind w:left="241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</w:t>
            </w:r>
          </w:p>
          <w:p>
            <w:pPr>
              <w:pStyle w:val="TableParagraph"/>
              <w:spacing w:line="233" w:lineRule="exact" w:before="2"/>
              <w:ind w:left="1607"/>
              <w:rPr>
                <w:i/>
                <w:sz w:val="22"/>
              </w:rPr>
            </w:pPr>
            <w:r>
              <w:rPr>
                <w:i/>
                <w:sz w:val="22"/>
              </w:rPr>
              <w:t>podpisy osôb reprezentujúcich partnera</w:t>
            </w:r>
          </w:p>
        </w:tc>
      </w:tr>
    </w:tbl>
    <w:sectPr>
      <w:pgSz w:w="12240" w:h="15840"/>
      <w:pgMar w:top="1360" w:bottom="280" w:left="15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940" w:hanging="348"/>
        <w:jc w:val="left"/>
      </w:pPr>
      <w:rPr>
        <w:rFonts w:hint="default" w:ascii="Times New Roman" w:hAnsi="Times New Roman" w:eastAsia="Times New Roman" w:cs="Times New Roman"/>
        <w:spacing w:val="-5"/>
        <w:w w:val="99"/>
        <w:sz w:val="24"/>
        <w:szCs w:val="24"/>
        <w:lang w:val="pl-PL" w:eastAsia="pl-PL" w:bidi="pl-PL"/>
      </w:rPr>
    </w:lvl>
    <w:lvl w:ilvl="1">
      <w:start w:val="0"/>
      <w:numFmt w:val="bullet"/>
      <w:lvlText w:val="•"/>
      <w:lvlJc w:val="left"/>
      <w:pPr>
        <w:ind w:left="1772" w:hanging="348"/>
      </w:pPr>
      <w:rPr>
        <w:rFonts w:hint="default"/>
        <w:lang w:val="pl-PL" w:eastAsia="pl-PL" w:bidi="pl-PL"/>
      </w:rPr>
    </w:lvl>
    <w:lvl w:ilvl="2">
      <w:start w:val="0"/>
      <w:numFmt w:val="bullet"/>
      <w:lvlText w:val="•"/>
      <w:lvlJc w:val="left"/>
      <w:pPr>
        <w:ind w:left="2604" w:hanging="348"/>
      </w:pPr>
      <w:rPr>
        <w:rFonts w:hint="default"/>
        <w:lang w:val="pl-PL" w:eastAsia="pl-PL" w:bidi="pl-PL"/>
      </w:rPr>
    </w:lvl>
    <w:lvl w:ilvl="3">
      <w:start w:val="0"/>
      <w:numFmt w:val="bullet"/>
      <w:lvlText w:val="•"/>
      <w:lvlJc w:val="left"/>
      <w:pPr>
        <w:ind w:left="3436" w:hanging="348"/>
      </w:pPr>
      <w:rPr>
        <w:rFonts w:hint="default"/>
        <w:lang w:val="pl-PL" w:eastAsia="pl-PL" w:bidi="pl-PL"/>
      </w:rPr>
    </w:lvl>
    <w:lvl w:ilvl="4">
      <w:start w:val="0"/>
      <w:numFmt w:val="bullet"/>
      <w:lvlText w:val="•"/>
      <w:lvlJc w:val="left"/>
      <w:pPr>
        <w:ind w:left="4268" w:hanging="348"/>
      </w:pPr>
      <w:rPr>
        <w:rFonts w:hint="default"/>
        <w:lang w:val="pl-PL" w:eastAsia="pl-PL" w:bidi="pl-PL"/>
      </w:rPr>
    </w:lvl>
    <w:lvl w:ilvl="5">
      <w:start w:val="0"/>
      <w:numFmt w:val="bullet"/>
      <w:lvlText w:val="•"/>
      <w:lvlJc w:val="left"/>
      <w:pPr>
        <w:ind w:left="5100" w:hanging="348"/>
      </w:pPr>
      <w:rPr>
        <w:rFonts w:hint="default"/>
        <w:lang w:val="pl-PL" w:eastAsia="pl-PL" w:bidi="pl-PL"/>
      </w:rPr>
    </w:lvl>
    <w:lvl w:ilvl="6">
      <w:start w:val="0"/>
      <w:numFmt w:val="bullet"/>
      <w:lvlText w:val="•"/>
      <w:lvlJc w:val="left"/>
      <w:pPr>
        <w:ind w:left="5932" w:hanging="348"/>
      </w:pPr>
      <w:rPr>
        <w:rFonts w:hint="default"/>
        <w:lang w:val="pl-PL" w:eastAsia="pl-PL" w:bidi="pl-PL"/>
      </w:rPr>
    </w:lvl>
    <w:lvl w:ilvl="7">
      <w:start w:val="0"/>
      <w:numFmt w:val="bullet"/>
      <w:lvlText w:val="•"/>
      <w:lvlJc w:val="left"/>
      <w:pPr>
        <w:ind w:left="6764" w:hanging="348"/>
      </w:pPr>
      <w:rPr>
        <w:rFonts w:hint="default"/>
        <w:lang w:val="pl-PL" w:eastAsia="pl-PL" w:bidi="pl-PL"/>
      </w:rPr>
    </w:lvl>
    <w:lvl w:ilvl="8">
      <w:start w:val="0"/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940" w:hanging="348"/>
      </w:pPr>
      <w:rPr>
        <w:rFonts w:hint="default"/>
        <w:w w:val="100"/>
        <w:lang w:val="pl-PL" w:eastAsia="pl-PL" w:bidi="pl-PL"/>
      </w:rPr>
    </w:lvl>
    <w:lvl w:ilvl="1">
      <w:start w:val="0"/>
      <w:numFmt w:val="bullet"/>
      <w:lvlText w:val="•"/>
      <w:lvlJc w:val="left"/>
      <w:pPr>
        <w:ind w:left="1772" w:hanging="348"/>
      </w:pPr>
      <w:rPr>
        <w:rFonts w:hint="default"/>
        <w:lang w:val="pl-PL" w:eastAsia="pl-PL" w:bidi="pl-PL"/>
      </w:rPr>
    </w:lvl>
    <w:lvl w:ilvl="2">
      <w:start w:val="0"/>
      <w:numFmt w:val="bullet"/>
      <w:lvlText w:val="•"/>
      <w:lvlJc w:val="left"/>
      <w:pPr>
        <w:ind w:left="2604" w:hanging="348"/>
      </w:pPr>
      <w:rPr>
        <w:rFonts w:hint="default"/>
        <w:lang w:val="pl-PL" w:eastAsia="pl-PL" w:bidi="pl-PL"/>
      </w:rPr>
    </w:lvl>
    <w:lvl w:ilvl="3">
      <w:start w:val="0"/>
      <w:numFmt w:val="bullet"/>
      <w:lvlText w:val="•"/>
      <w:lvlJc w:val="left"/>
      <w:pPr>
        <w:ind w:left="3436" w:hanging="348"/>
      </w:pPr>
      <w:rPr>
        <w:rFonts w:hint="default"/>
        <w:lang w:val="pl-PL" w:eastAsia="pl-PL" w:bidi="pl-PL"/>
      </w:rPr>
    </w:lvl>
    <w:lvl w:ilvl="4">
      <w:start w:val="0"/>
      <w:numFmt w:val="bullet"/>
      <w:lvlText w:val="•"/>
      <w:lvlJc w:val="left"/>
      <w:pPr>
        <w:ind w:left="4268" w:hanging="348"/>
      </w:pPr>
      <w:rPr>
        <w:rFonts w:hint="default"/>
        <w:lang w:val="pl-PL" w:eastAsia="pl-PL" w:bidi="pl-PL"/>
      </w:rPr>
    </w:lvl>
    <w:lvl w:ilvl="5">
      <w:start w:val="0"/>
      <w:numFmt w:val="bullet"/>
      <w:lvlText w:val="•"/>
      <w:lvlJc w:val="left"/>
      <w:pPr>
        <w:ind w:left="5100" w:hanging="348"/>
      </w:pPr>
      <w:rPr>
        <w:rFonts w:hint="default"/>
        <w:lang w:val="pl-PL" w:eastAsia="pl-PL" w:bidi="pl-PL"/>
      </w:rPr>
    </w:lvl>
    <w:lvl w:ilvl="6">
      <w:start w:val="0"/>
      <w:numFmt w:val="bullet"/>
      <w:lvlText w:val="•"/>
      <w:lvlJc w:val="left"/>
      <w:pPr>
        <w:ind w:left="5932" w:hanging="348"/>
      </w:pPr>
      <w:rPr>
        <w:rFonts w:hint="default"/>
        <w:lang w:val="pl-PL" w:eastAsia="pl-PL" w:bidi="pl-PL"/>
      </w:rPr>
    </w:lvl>
    <w:lvl w:ilvl="7">
      <w:start w:val="0"/>
      <w:numFmt w:val="bullet"/>
      <w:lvlText w:val="•"/>
      <w:lvlJc w:val="left"/>
      <w:pPr>
        <w:ind w:left="6764" w:hanging="348"/>
      </w:pPr>
      <w:rPr>
        <w:rFonts w:hint="default"/>
        <w:lang w:val="pl-PL" w:eastAsia="pl-PL" w:bidi="pl-PL"/>
      </w:rPr>
    </w:lvl>
    <w:lvl w:ilvl="8">
      <w:start w:val="0"/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pl-PL" w:bidi="pl-PL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pl-PL" w:bidi="pl-PL"/>
    </w:rPr>
  </w:style>
  <w:style w:styleId="ListParagraph" w:type="paragraph">
    <w:name w:val="List Paragraph"/>
    <w:basedOn w:val="Normal"/>
    <w:uiPriority w:val="1"/>
    <w:qFormat/>
    <w:pPr>
      <w:ind w:left="940" w:hanging="360"/>
    </w:pPr>
    <w:rPr>
      <w:rFonts w:ascii="Times New Roman" w:hAnsi="Times New Roman" w:eastAsia="Times New Roman" w:cs="Times New Roman"/>
      <w:lang w:val="pl-PL" w:eastAsia="pl-PL" w:bidi="pl-PL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pl-PL" w:bidi="pl-P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TLT</dc:creator>
  <dcterms:created xsi:type="dcterms:W3CDTF">2017-11-08T14:06:34Z</dcterms:created>
  <dcterms:modified xsi:type="dcterms:W3CDTF">2017-11-08T14:06:34Z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2017-11-08T00:00:00Z</vt:filetime>
  </property>
</Properties>
</file>